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84"/>
        <w:gridCol w:w="2152"/>
        <w:gridCol w:w="2238"/>
        <w:gridCol w:w="3068"/>
      </w:tblGrid>
      <w:tr w:rsidR="00107CFB" w:rsidTr="00107CFB">
        <w:tc>
          <w:tcPr>
            <w:tcW w:w="1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07CFB" w:rsidRDefault="00107CFB" w:rsidP="00107C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0" wp14:anchorId="0E85CCF7" wp14:editId="3E14DE8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138430</wp:posOffset>
                  </wp:positionV>
                  <wp:extent cx="923925" cy="1140460"/>
                  <wp:effectExtent l="0" t="0" r="9525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7CFB" w:rsidRPr="00107CFB" w:rsidRDefault="00107CFB" w:rsidP="00107CFB">
            <w:pPr>
              <w:jc w:val="center"/>
              <w:rPr>
                <w:rFonts w:ascii="Calibri" w:eastAsia="Calibri" w:hAnsi="Calibri"/>
                <w:b/>
                <w:sz w:val="72"/>
                <w:szCs w:val="72"/>
              </w:rPr>
            </w:pPr>
            <w:r>
              <w:rPr>
                <w:rFonts w:ascii="Calibri" w:eastAsia="Calibri" w:hAnsi="Calibri"/>
                <w:b/>
                <w:sz w:val="72"/>
                <w:szCs w:val="72"/>
              </w:rPr>
              <w:t>Seven Hills High School</w:t>
            </w:r>
          </w:p>
          <w:p w:rsidR="00107CFB" w:rsidRDefault="00107CFB" w:rsidP="00107C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</w:rPr>
              <w:t>Year 10 Formal Policy</w:t>
            </w:r>
          </w:p>
        </w:tc>
      </w:tr>
      <w:tr w:rsidR="00107CFB" w:rsidTr="00107CFB">
        <w:trPr>
          <w:trHeight w:val="363"/>
        </w:trPr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107CFB" w:rsidRDefault="00107CFB" w:rsidP="00D1047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Implementation Date: February  2017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107CFB" w:rsidRDefault="00107CFB" w:rsidP="00D1047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107CFB" w:rsidRDefault="00107CFB" w:rsidP="00D1047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Review Date:  </w:t>
            </w:r>
            <w:r w:rsidR="00D10472">
              <w:rPr>
                <w:rFonts w:ascii="Calibri" w:eastAsia="Calibri" w:hAnsi="Calibri"/>
                <w:b/>
              </w:rPr>
              <w:t>December</w:t>
            </w:r>
            <w:r>
              <w:rPr>
                <w:rFonts w:ascii="Calibri" w:eastAsia="Calibri" w:hAnsi="Calibri"/>
                <w:b/>
              </w:rPr>
              <w:t xml:space="preserve">  20</w:t>
            </w:r>
            <w:r w:rsidR="00D10472">
              <w:rPr>
                <w:rFonts w:ascii="Calibri" w:eastAsia="Calibri" w:hAnsi="Calibri"/>
                <w:b/>
              </w:rPr>
              <w:t>20</w:t>
            </w:r>
          </w:p>
        </w:tc>
      </w:tr>
    </w:tbl>
    <w:p w:rsidR="00107CFB" w:rsidRPr="001B2E48" w:rsidRDefault="00107CFB" w:rsidP="00107CFB">
      <w:pPr>
        <w:pStyle w:val="Heading2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CFB" w:rsidTr="00107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07CFB" w:rsidRDefault="00107CFB" w:rsidP="00EA0232">
            <w:pPr>
              <w:jc w:val="both"/>
              <w:rPr>
                <w:sz w:val="24"/>
                <w:szCs w:val="24"/>
              </w:rPr>
            </w:pPr>
            <w:r w:rsidRPr="000E4763">
              <w:rPr>
                <w:sz w:val="24"/>
                <w:szCs w:val="24"/>
              </w:rPr>
              <w:t>For a student to attend the Year 10 Formal</w:t>
            </w:r>
          </w:p>
        </w:tc>
      </w:tr>
    </w:tbl>
    <w:p w:rsidR="00DD6D8B" w:rsidRPr="00107CFB" w:rsidRDefault="00E57876" w:rsidP="00DD6D8B">
      <w:pPr>
        <w:pStyle w:val="ListParagraph"/>
        <w:numPr>
          <w:ilvl w:val="0"/>
          <w:numId w:val="1"/>
        </w:numPr>
        <w:spacing w:before="200"/>
        <w:ind w:left="284" w:hanging="284"/>
        <w:contextualSpacing w:val="0"/>
        <w:jc w:val="both"/>
      </w:pPr>
      <w:r w:rsidRPr="00107CFB">
        <w:t>He/she</w:t>
      </w:r>
      <w:r w:rsidR="00DD6D8B" w:rsidRPr="00107CFB">
        <w:t xml:space="preserve"> must be enrolled at Seven Hills High School.</w:t>
      </w:r>
    </w:p>
    <w:p w:rsidR="00F14CE2" w:rsidRPr="00107CFB" w:rsidRDefault="008A00E6" w:rsidP="00DD6D8B">
      <w:pPr>
        <w:pStyle w:val="ListParagraph"/>
        <w:numPr>
          <w:ilvl w:val="0"/>
          <w:numId w:val="1"/>
        </w:numPr>
        <w:spacing w:before="200"/>
        <w:ind w:left="284" w:hanging="284"/>
        <w:contextualSpacing w:val="0"/>
        <w:jc w:val="both"/>
      </w:pPr>
      <w:r w:rsidRPr="00107CFB">
        <w:t>A</w:t>
      </w:r>
      <w:r w:rsidR="00EA0232" w:rsidRPr="00107CFB">
        <w:t>ll agreed financial commitments must have been met. Thes</w:t>
      </w:r>
      <w:r w:rsidRPr="00107CFB">
        <w:t>e commitments include Stage 5 s</w:t>
      </w:r>
      <w:r w:rsidR="00DD6D8B" w:rsidRPr="00107CFB">
        <w:t>u</w:t>
      </w:r>
      <w:r w:rsidR="00EA0232" w:rsidRPr="00107CFB">
        <w:t xml:space="preserve">bject fees and any educational activities for which the requirement of payment has been accepted by the parent and /or the student. </w:t>
      </w:r>
    </w:p>
    <w:p w:rsidR="00EA0232" w:rsidRPr="00107CFB" w:rsidRDefault="00F14CE2" w:rsidP="00DD6D8B">
      <w:pPr>
        <w:spacing w:before="200"/>
        <w:ind w:left="284"/>
        <w:jc w:val="both"/>
        <w:rPr>
          <w:i/>
        </w:rPr>
      </w:pPr>
      <w:proofErr w:type="gramStart"/>
      <w:r w:rsidRPr="00107CFB">
        <w:rPr>
          <w:i/>
        </w:rPr>
        <w:t>N.B.</w:t>
      </w:r>
      <w:proofErr w:type="gramEnd"/>
      <w:r w:rsidRPr="00107CFB">
        <w:rPr>
          <w:i/>
        </w:rPr>
        <w:t xml:space="preserve"> </w:t>
      </w:r>
      <w:r w:rsidR="00EA0232" w:rsidRPr="00107CFB">
        <w:rPr>
          <w:i/>
        </w:rPr>
        <w:t xml:space="preserve"> All par</w:t>
      </w:r>
      <w:r w:rsidRPr="00107CFB">
        <w:rPr>
          <w:i/>
        </w:rPr>
        <w:t>ents have the opportunity to pay the required monies through instalment</w:t>
      </w:r>
      <w:r w:rsidR="008A00E6" w:rsidRPr="00107CFB">
        <w:rPr>
          <w:i/>
        </w:rPr>
        <w:t>s</w:t>
      </w:r>
      <w:r w:rsidRPr="00107CFB">
        <w:rPr>
          <w:i/>
        </w:rPr>
        <w:t>. Some parents may be eligible to receive financial support for the payment of subject fees and other course requirements through limited student assistance funding.</w:t>
      </w:r>
    </w:p>
    <w:p w:rsidR="00F14CE2" w:rsidRPr="00107CFB" w:rsidRDefault="008A00E6" w:rsidP="00DD6D8B">
      <w:pPr>
        <w:pStyle w:val="ListParagraph"/>
        <w:numPr>
          <w:ilvl w:val="0"/>
          <w:numId w:val="1"/>
        </w:numPr>
        <w:spacing w:before="200"/>
        <w:ind w:left="284" w:hanging="357"/>
        <w:contextualSpacing w:val="0"/>
        <w:jc w:val="both"/>
      </w:pPr>
      <w:r w:rsidRPr="00107CFB">
        <w:t>All</w:t>
      </w:r>
      <w:r w:rsidR="00F14CE2" w:rsidRPr="00107CFB">
        <w:t xml:space="preserve"> school resources, such as library books, textbooks, sports uniforms, </w:t>
      </w:r>
      <w:proofErr w:type="spellStart"/>
      <w:r w:rsidR="00F14CE2" w:rsidRPr="00107CFB">
        <w:t>etc</w:t>
      </w:r>
      <w:proofErr w:type="spellEnd"/>
      <w:r w:rsidRPr="00107CFB">
        <w:t>, loaned to a student are to have been returned</w:t>
      </w:r>
      <w:r w:rsidR="00F14CE2" w:rsidRPr="00107CFB">
        <w:t xml:space="preserve"> or </w:t>
      </w:r>
      <w:r w:rsidRPr="00107CFB">
        <w:t>the school</w:t>
      </w:r>
      <w:r w:rsidR="00F14CE2" w:rsidRPr="00107CFB">
        <w:t xml:space="preserve"> reimbursed for lost items.</w:t>
      </w:r>
    </w:p>
    <w:p w:rsidR="00A701D5" w:rsidRDefault="008A00E6" w:rsidP="00DD6D8B">
      <w:pPr>
        <w:pStyle w:val="ListParagraph"/>
        <w:numPr>
          <w:ilvl w:val="0"/>
          <w:numId w:val="1"/>
        </w:numPr>
        <w:spacing w:before="200"/>
        <w:ind w:left="284" w:hanging="357"/>
        <w:contextualSpacing w:val="0"/>
        <w:jc w:val="both"/>
      </w:pPr>
      <w:r w:rsidRPr="00107CFB">
        <w:t>S</w:t>
      </w:r>
      <w:r w:rsidR="00A701D5" w:rsidRPr="00107CFB">
        <w:t xml:space="preserve">tudents </w:t>
      </w:r>
      <w:r w:rsidR="00DD6D8B" w:rsidRPr="00107CFB">
        <w:t>must have complied with</w:t>
      </w:r>
      <w:r w:rsidR="00A701D5" w:rsidRPr="00107CFB">
        <w:t xml:space="preserve"> the policies and procedures of Seven Hills High School relating to behaviour, uniform, attendance and </w:t>
      </w:r>
      <w:r w:rsidR="000C5FB0" w:rsidRPr="00107CFB">
        <w:t>learning</w:t>
      </w:r>
      <w:r w:rsidR="00A701D5" w:rsidRPr="00107CFB">
        <w:t>.</w:t>
      </w:r>
      <w:bookmarkStart w:id="0" w:name="_GoBack"/>
      <w:bookmarkEnd w:id="0"/>
    </w:p>
    <w:p w:rsidR="00107CFB" w:rsidRPr="00107CFB" w:rsidRDefault="00107CFB" w:rsidP="00107CFB">
      <w:pPr>
        <w:pStyle w:val="ListParagraph"/>
        <w:spacing w:before="200"/>
        <w:ind w:left="284"/>
        <w:contextualSpacing w:val="0"/>
        <w:jc w:val="both"/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8958"/>
      </w:tblGrid>
      <w:tr w:rsidR="00107CFB" w:rsidRPr="00107CFB" w:rsidTr="00107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</w:tcPr>
          <w:p w:rsidR="00107CFB" w:rsidRPr="00107CFB" w:rsidRDefault="00107CFB" w:rsidP="00107CFB">
            <w:pPr>
              <w:pStyle w:val="ListParagraph"/>
              <w:tabs>
                <w:tab w:val="left" w:pos="3825"/>
              </w:tabs>
              <w:ind w:left="0"/>
              <w:contextualSpacing w:val="0"/>
              <w:jc w:val="both"/>
            </w:pPr>
            <w:r w:rsidRPr="00107CFB">
              <w:t>Issuing of a Formal Denial Letter</w:t>
            </w:r>
            <w:r w:rsidRPr="00107CFB">
              <w:tab/>
            </w:r>
          </w:p>
        </w:tc>
      </w:tr>
    </w:tbl>
    <w:p w:rsidR="000C5FB0" w:rsidRPr="00107CFB" w:rsidRDefault="00B67611" w:rsidP="00107CFB">
      <w:pPr>
        <w:spacing w:before="120" w:after="120"/>
        <w:jc w:val="both"/>
      </w:pPr>
      <w:r w:rsidRPr="00107CFB">
        <w:t>A student</w:t>
      </w:r>
      <w:r w:rsidR="00A701D5" w:rsidRPr="00107CFB">
        <w:t xml:space="preserve"> who display</w:t>
      </w:r>
      <w:r w:rsidRPr="00107CFB">
        <w:t>s</w:t>
      </w:r>
      <w:r w:rsidR="00A701D5" w:rsidRPr="00107CFB">
        <w:t xml:space="preserve"> a pattern of non-compliance</w:t>
      </w:r>
      <w:r w:rsidR="00A1697C" w:rsidRPr="00107CFB">
        <w:t xml:space="preserve"> (including ‘N’ Award notifications)</w:t>
      </w:r>
      <w:r w:rsidR="00A701D5" w:rsidRPr="00107CFB">
        <w:t xml:space="preserve"> or whose behaviour warrants the issuing of a formal caution or suspension from school will </w:t>
      </w:r>
      <w:r w:rsidR="000C5FB0" w:rsidRPr="00107CFB">
        <w:t xml:space="preserve">have </w:t>
      </w:r>
      <w:r w:rsidR="006B56A2" w:rsidRPr="00107CFB">
        <w:t>their right</w:t>
      </w:r>
      <w:r w:rsidR="000C5FB0" w:rsidRPr="00107CFB">
        <w:t xml:space="preserve"> </w:t>
      </w:r>
      <w:r w:rsidR="00A701D5" w:rsidRPr="00107CFB">
        <w:t xml:space="preserve">to attend the Year 10 Formal </w:t>
      </w:r>
      <w:r w:rsidR="006B56A2" w:rsidRPr="00107CFB">
        <w:t>revoked</w:t>
      </w:r>
      <w:r w:rsidR="000C5FB0" w:rsidRPr="00107CFB">
        <w:t>. Both the student and their parent</w:t>
      </w:r>
      <w:r w:rsidRPr="00107CFB">
        <w:t>s</w:t>
      </w:r>
      <w:r w:rsidR="000C5FB0" w:rsidRPr="00107CFB">
        <w:t xml:space="preserve"> will be advised of this decision via a Formal Denial Letter.</w:t>
      </w:r>
    </w:p>
    <w:p w:rsidR="00A701D5" w:rsidRDefault="000C5FB0" w:rsidP="00107CFB">
      <w:pPr>
        <w:jc w:val="both"/>
      </w:pPr>
      <w:r w:rsidRPr="00107CFB">
        <w:t xml:space="preserve">For the student to have the </w:t>
      </w:r>
      <w:r w:rsidR="006B56A2" w:rsidRPr="00107CFB">
        <w:t xml:space="preserve">right </w:t>
      </w:r>
      <w:r w:rsidRPr="00107CFB">
        <w:t>to attend the formal reinstated</w:t>
      </w:r>
      <w:r w:rsidR="006B56A2" w:rsidRPr="00107CFB">
        <w:t>,</w:t>
      </w:r>
      <w:r w:rsidRPr="00107CFB">
        <w:t xml:space="preserve"> they must ensure that their </w:t>
      </w:r>
      <w:r w:rsidR="00B67611" w:rsidRPr="00107CFB">
        <w:t>behaviour</w:t>
      </w:r>
      <w:r w:rsidRPr="00107CFB">
        <w:t>, attendance, uniform</w:t>
      </w:r>
      <w:r w:rsidR="007C3717" w:rsidRPr="00107CFB">
        <w:t xml:space="preserve"> and learning are exemplary for the remainder of the school year.</w:t>
      </w:r>
    </w:p>
    <w:p w:rsidR="00107CFB" w:rsidRPr="00107CFB" w:rsidRDefault="00107CFB" w:rsidP="00107CFB">
      <w:pPr>
        <w:jc w:val="both"/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CFB" w:rsidRPr="00107CFB" w:rsidTr="00107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07CFB" w:rsidRPr="00107CFB" w:rsidRDefault="00107CFB" w:rsidP="00DD6D8B">
            <w:pPr>
              <w:jc w:val="both"/>
            </w:pPr>
            <w:r>
              <w:t>Formal Denial Appeal</w:t>
            </w:r>
            <w:r w:rsidRPr="00107CFB">
              <w:t xml:space="preserve"> Process</w:t>
            </w:r>
          </w:p>
        </w:tc>
      </w:tr>
    </w:tbl>
    <w:p w:rsidR="007C3717" w:rsidRPr="00107CFB" w:rsidRDefault="00A570EB" w:rsidP="00107CFB">
      <w:pPr>
        <w:spacing w:before="120" w:after="0"/>
        <w:jc w:val="both"/>
      </w:pPr>
      <w:r w:rsidRPr="00107CFB">
        <w:t>A student</w:t>
      </w:r>
      <w:r w:rsidR="007C3717" w:rsidRPr="00107CFB">
        <w:t xml:space="preserve"> receiving </w:t>
      </w:r>
      <w:r w:rsidRPr="00107CFB">
        <w:t>a Formal Denial Letter</w:t>
      </w:r>
      <w:r w:rsidR="007C3717" w:rsidRPr="00107CFB">
        <w:t xml:space="preserve"> will have the right to </w:t>
      </w:r>
      <w:r w:rsidR="00B67611" w:rsidRPr="00107CFB">
        <w:t xml:space="preserve">appeal the determination and </w:t>
      </w:r>
      <w:r w:rsidR="007C3717" w:rsidRPr="00107CFB">
        <w:t xml:space="preserve">present a case for attending the </w:t>
      </w:r>
      <w:r w:rsidR="000E4763" w:rsidRPr="00107CFB">
        <w:t>f</w:t>
      </w:r>
      <w:r w:rsidR="007C3717" w:rsidRPr="00107CFB">
        <w:t xml:space="preserve">ormal to a meeting of </w:t>
      </w:r>
      <w:r w:rsidRPr="00107CFB">
        <w:t>The Year 10 Formal Review Committee in Term 4. In addition to hearing a student’s case</w:t>
      </w:r>
      <w:r w:rsidR="00B67611" w:rsidRPr="00107CFB">
        <w:t>,</w:t>
      </w:r>
      <w:r w:rsidRPr="00107CFB">
        <w:t xml:space="preserve"> the committee will review evidence such as attendance and behaviour data before making a determination.</w:t>
      </w:r>
    </w:p>
    <w:p w:rsidR="00A570EB" w:rsidRPr="00107CFB" w:rsidRDefault="00B67611" w:rsidP="00107CFB">
      <w:pPr>
        <w:jc w:val="both"/>
      </w:pPr>
      <w:r w:rsidRPr="00107CFB">
        <w:t xml:space="preserve">Students will receive a letter to indicate the </w:t>
      </w:r>
      <w:r w:rsidR="006B56A2" w:rsidRPr="00107CFB">
        <w:t>outcome</w:t>
      </w:r>
      <w:r w:rsidRPr="00107CFB">
        <w:t xml:space="preserve"> of their appeal. </w:t>
      </w:r>
    </w:p>
    <w:p w:rsidR="00A701D5" w:rsidRDefault="00A701D5"/>
    <w:sectPr w:rsidR="00A701D5" w:rsidSect="00B6761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67" w:rsidRDefault="005C5A67" w:rsidP="005C5A67">
      <w:pPr>
        <w:spacing w:after="0" w:line="240" w:lineRule="auto"/>
      </w:pPr>
      <w:r>
        <w:separator/>
      </w:r>
    </w:p>
  </w:endnote>
  <w:endnote w:type="continuationSeparator" w:id="0">
    <w:p w:rsidR="005C5A67" w:rsidRDefault="005C5A67" w:rsidP="005C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67" w:rsidRDefault="005C5A67" w:rsidP="005C5A67">
      <w:pPr>
        <w:spacing w:after="0" w:line="240" w:lineRule="auto"/>
      </w:pPr>
      <w:r>
        <w:separator/>
      </w:r>
    </w:p>
  </w:footnote>
  <w:footnote w:type="continuationSeparator" w:id="0">
    <w:p w:rsidR="005C5A67" w:rsidRDefault="005C5A67" w:rsidP="005C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3199"/>
    <w:multiLevelType w:val="hybridMultilevel"/>
    <w:tmpl w:val="0320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D5"/>
    <w:rsid w:val="000C5FB0"/>
    <w:rsid w:val="000E4763"/>
    <w:rsid w:val="00107CFB"/>
    <w:rsid w:val="001B2E48"/>
    <w:rsid w:val="002D4345"/>
    <w:rsid w:val="00316C4F"/>
    <w:rsid w:val="005C5A67"/>
    <w:rsid w:val="006B56A2"/>
    <w:rsid w:val="007C3717"/>
    <w:rsid w:val="008A00E6"/>
    <w:rsid w:val="00976744"/>
    <w:rsid w:val="00A1697C"/>
    <w:rsid w:val="00A570EB"/>
    <w:rsid w:val="00A701D5"/>
    <w:rsid w:val="00B67611"/>
    <w:rsid w:val="00BF1AC8"/>
    <w:rsid w:val="00D10472"/>
    <w:rsid w:val="00DD6D8B"/>
    <w:rsid w:val="00E57876"/>
    <w:rsid w:val="00EA0232"/>
    <w:rsid w:val="00F1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6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67"/>
  </w:style>
  <w:style w:type="paragraph" w:styleId="Footer">
    <w:name w:val="footer"/>
    <w:basedOn w:val="Normal"/>
    <w:link w:val="FooterChar"/>
    <w:uiPriority w:val="99"/>
    <w:unhideWhenUsed/>
    <w:rsid w:val="005C5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67"/>
  </w:style>
  <w:style w:type="paragraph" w:styleId="BalloonText">
    <w:name w:val="Balloon Text"/>
    <w:basedOn w:val="Normal"/>
    <w:link w:val="BalloonTextChar"/>
    <w:uiPriority w:val="99"/>
    <w:semiHidden/>
    <w:unhideWhenUsed/>
    <w:rsid w:val="005C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07C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6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67"/>
  </w:style>
  <w:style w:type="paragraph" w:styleId="Footer">
    <w:name w:val="footer"/>
    <w:basedOn w:val="Normal"/>
    <w:link w:val="FooterChar"/>
    <w:uiPriority w:val="99"/>
    <w:unhideWhenUsed/>
    <w:rsid w:val="005C5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67"/>
  </w:style>
  <w:style w:type="paragraph" w:styleId="BalloonText">
    <w:name w:val="Balloon Text"/>
    <w:basedOn w:val="Normal"/>
    <w:link w:val="BalloonTextChar"/>
    <w:uiPriority w:val="99"/>
    <w:semiHidden/>
    <w:unhideWhenUsed/>
    <w:rsid w:val="005C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07C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gregory.johnstone</dc:creator>
  <cp:lastModifiedBy>Johnstone, Greg</cp:lastModifiedBy>
  <cp:revision>10</cp:revision>
  <cp:lastPrinted>2014-05-01T22:01:00Z</cp:lastPrinted>
  <dcterms:created xsi:type="dcterms:W3CDTF">2012-04-05T00:03:00Z</dcterms:created>
  <dcterms:modified xsi:type="dcterms:W3CDTF">2017-08-24T02:17:00Z</dcterms:modified>
</cp:coreProperties>
</file>